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黑体" w:cs="仿宋"/>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rPr>
        <w:t>四川省</w:t>
      </w:r>
      <w:r>
        <w:rPr>
          <w:rFonts w:hint="eastAsia" w:ascii="黑体" w:hAnsi="黑体" w:eastAsia="黑体" w:cs="黑体"/>
          <w:b/>
          <w:bCs/>
          <w:sz w:val="44"/>
          <w:szCs w:val="44"/>
          <w:lang w:val="en-US" w:eastAsia="zh-CN"/>
        </w:rPr>
        <w:t>卫生健康委员会人才服务</w:t>
      </w:r>
      <w:r>
        <w:rPr>
          <w:rFonts w:hint="eastAsia" w:ascii="黑体" w:hAnsi="黑体" w:eastAsia="黑体" w:cs="黑体"/>
          <w:b/>
          <w:bCs/>
          <w:sz w:val="44"/>
          <w:szCs w:val="44"/>
        </w:rPr>
        <w:t>中心</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ascii="仿宋" w:hAnsi="仿宋" w:eastAsia="仿宋" w:cs="仿宋"/>
          <w:sz w:val="32"/>
          <w:szCs w:val="32"/>
        </w:rPr>
      </w:pPr>
      <w:r>
        <w:rPr>
          <w:rFonts w:hint="eastAsia" w:ascii="黑体" w:hAnsi="黑体" w:eastAsia="黑体" w:cs="黑体"/>
          <w:b/>
          <w:bCs/>
          <w:sz w:val="44"/>
          <w:szCs w:val="44"/>
        </w:rPr>
        <w:t>法律咨询服务机构比选项目评审表</w:t>
      </w:r>
      <w:bookmarkStart w:id="0" w:name="_GoBack"/>
      <w:bookmarkEnd w:id="0"/>
    </w:p>
    <w:tbl>
      <w:tblPr>
        <w:tblStyle w:val="12"/>
        <w:tblW w:w="14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5"/>
        <w:gridCol w:w="1365"/>
        <w:gridCol w:w="6933"/>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28" w:type="dxa"/>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705" w:type="dxa"/>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分值</w:t>
            </w:r>
          </w:p>
        </w:tc>
        <w:tc>
          <w:tcPr>
            <w:tcW w:w="1365" w:type="dxa"/>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评分项目</w:t>
            </w:r>
          </w:p>
        </w:tc>
        <w:tc>
          <w:tcPr>
            <w:tcW w:w="6933" w:type="dxa"/>
            <w:vAlign w:val="center"/>
          </w:tcPr>
          <w:p>
            <w:pPr>
              <w:jc w:val="center"/>
              <w:rPr>
                <w:rFonts w:hint="eastAsia" w:ascii="黑体" w:hAnsi="黑体" w:eastAsia="黑体" w:cs="黑体"/>
                <w:b w:val="0"/>
                <w:bCs w:val="0"/>
                <w:sz w:val="24"/>
                <w:szCs w:val="24"/>
              </w:rPr>
            </w:pPr>
            <w:r>
              <w:rPr>
                <w:rFonts w:hint="eastAsia" w:ascii="黑体" w:hAnsi="黑体" w:eastAsia="黑体" w:cs="黑体"/>
                <w:b w:val="0"/>
                <w:bCs w:val="0"/>
                <w:sz w:val="24"/>
                <w:szCs w:val="24"/>
              </w:rPr>
              <w:t>评审内容</w:t>
            </w:r>
          </w:p>
        </w:tc>
        <w:tc>
          <w:tcPr>
            <w:tcW w:w="4629" w:type="dxa"/>
            <w:vAlign w:val="center"/>
          </w:tcPr>
          <w:p>
            <w:pPr>
              <w:jc w:val="center"/>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2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0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tc>
        <w:tc>
          <w:tcPr>
            <w:tcW w:w="1365" w:type="dxa"/>
            <w:vAlign w:val="center"/>
          </w:tcPr>
          <w:p>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sz w:val="24"/>
                <w:szCs w:val="24"/>
                <w:lang w:val="en-US" w:eastAsia="zh-CN"/>
              </w:rPr>
              <w:t>报价</w:t>
            </w:r>
          </w:p>
        </w:tc>
        <w:tc>
          <w:tcPr>
            <w:tcW w:w="6933"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收费报价：最低收费价为评审基准价，其价格分为满分</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分。其余收费报价得分=(评审基准价／收费报价)×</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w:t>
            </w:r>
          </w:p>
        </w:tc>
        <w:tc>
          <w:tcPr>
            <w:tcW w:w="4629" w:type="dxa"/>
            <w:vAlign w:val="center"/>
          </w:tcPr>
          <w:p>
            <w:pPr>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828"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70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15分</w:t>
            </w:r>
          </w:p>
        </w:tc>
        <w:tc>
          <w:tcPr>
            <w:tcW w:w="136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服务方案</w:t>
            </w:r>
          </w:p>
        </w:tc>
        <w:tc>
          <w:tcPr>
            <w:tcW w:w="6933"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val="en-US" w:eastAsia="zh-CN"/>
              </w:rPr>
              <w:t>服务</w:t>
            </w:r>
            <w:r>
              <w:rPr>
                <w:rFonts w:hint="eastAsia" w:ascii="仿宋_GB2312" w:hAnsi="仿宋_GB2312" w:eastAsia="仿宋_GB2312" w:cs="仿宋_GB2312"/>
                <w:sz w:val="24"/>
                <w:szCs w:val="24"/>
              </w:rPr>
              <w:t>方案的完整性、可行性和合理性进行评审：</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服务能力成熟、方案详细可行、具体、操作流程明确得</w:t>
            </w:r>
            <w:r>
              <w:rPr>
                <w:rFonts w:hint="eastAsia" w:ascii="仿宋_GB2312" w:hAnsi="仿宋_GB2312" w:eastAsia="仿宋_GB2312" w:cs="仿宋_GB2312"/>
                <w:sz w:val="24"/>
                <w:szCs w:val="24"/>
                <w:lang w:val="en-US" w:eastAsia="zh-CN"/>
              </w:rPr>
              <w:t>11-15</w:t>
            </w:r>
            <w:r>
              <w:rPr>
                <w:rFonts w:hint="eastAsia" w:ascii="仿宋_GB2312" w:hAnsi="仿宋_GB2312" w:eastAsia="仿宋_GB2312" w:cs="仿宋_GB2312"/>
                <w:sz w:val="24"/>
                <w:szCs w:val="24"/>
              </w:rPr>
              <w:t>分；</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服务能力满足要求、方案可行、操作流程明确得</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服务能力、实施方案、操作流程基本可行得</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w:t>
            </w:r>
          </w:p>
        </w:tc>
        <w:tc>
          <w:tcPr>
            <w:tcW w:w="4629" w:type="dxa"/>
            <w:vAlign w:val="center"/>
          </w:tcPr>
          <w:p>
            <w:pPr>
              <w:numPr>
                <w:ilvl w:val="0"/>
                <w:numId w:val="0"/>
              </w:numPr>
              <w:jc w:val="both"/>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4" w:hRule="atLeast"/>
          <w:jc w:val="center"/>
        </w:trPr>
        <w:tc>
          <w:tcPr>
            <w:tcW w:w="828"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w:t>
            </w:r>
          </w:p>
        </w:tc>
        <w:tc>
          <w:tcPr>
            <w:tcW w:w="705" w:type="dxa"/>
            <w:vAlign w:val="center"/>
          </w:tcPr>
          <w:p>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分</w:t>
            </w:r>
          </w:p>
        </w:tc>
        <w:tc>
          <w:tcPr>
            <w:tcW w:w="1365" w:type="dxa"/>
            <w:vAlign w:val="center"/>
          </w:tcPr>
          <w:p>
            <w:pPr>
              <w:jc w:val="center"/>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sz w:val="24"/>
                <w:szCs w:val="24"/>
                <w:lang w:val="en-US" w:eastAsia="zh-CN"/>
              </w:rPr>
              <w:t>事务所资质</w:t>
            </w:r>
          </w:p>
        </w:tc>
        <w:tc>
          <w:tcPr>
            <w:tcW w:w="6933" w:type="dxa"/>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1.依据信用等级的分级标准，评委对供应商的信用等级作如下评审:A</w:t>
            </w:r>
            <w:r>
              <w:rPr>
                <w:rFonts w:hint="eastAsia" w:ascii="仿宋_GB2312" w:hAnsi="仿宋_GB2312" w:eastAsia="仿宋_GB2312" w:cs="仿宋_GB2312"/>
                <w:sz w:val="24"/>
                <w:szCs w:val="24"/>
                <w:lang w:val="en-US" w:eastAsia="zh-CN"/>
              </w:rPr>
              <w:t>AA</w:t>
            </w:r>
            <w:r>
              <w:rPr>
                <w:rFonts w:hint="eastAsia" w:ascii="仿宋_GB2312" w:hAnsi="仿宋_GB2312" w:eastAsia="仿宋_GB2312" w:cs="仿宋_GB2312"/>
                <w:sz w:val="24"/>
                <w:szCs w:val="24"/>
              </w:rPr>
              <w:t>级得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分，AA级得</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分，A级得</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val="en-US" w:eastAsia="zh-CN"/>
              </w:rPr>
              <w:t>其余不</w:t>
            </w:r>
            <w:r>
              <w:rPr>
                <w:rFonts w:hint="eastAsia" w:ascii="仿宋_GB2312" w:hAnsi="仿宋_GB2312" w:eastAsia="仿宋_GB2312" w:cs="仿宋_GB2312"/>
                <w:sz w:val="24"/>
                <w:szCs w:val="24"/>
              </w:rPr>
              <w:t>得分</w:t>
            </w:r>
            <w:r>
              <w:rPr>
                <w:rFonts w:hint="eastAsia" w:ascii="仿宋_GB2312" w:hAnsi="仿宋_GB2312" w:eastAsia="仿宋_GB2312" w:cs="仿宋_GB2312"/>
                <w:sz w:val="24"/>
                <w:szCs w:val="24"/>
                <w:lang w:eastAsia="zh-CN"/>
              </w:rPr>
              <w:t>；</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2.供应商有执业律师3名以上的，得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分，3名以下的不得分;</w:t>
            </w:r>
          </w:p>
          <w:p>
            <w:pPr>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3.供应商20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年1月1日(含)至今获得行政机关或律师协会颁发的奖项、荣誉称号，每个得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分;本小项最高得</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tc>
        <w:tc>
          <w:tcPr>
            <w:tcW w:w="4629" w:type="dxa"/>
            <w:vAlign w:val="center"/>
          </w:tcPr>
          <w:p>
            <w:pPr>
              <w:numPr>
                <w:numId w:val="0"/>
              </w:num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供应商须提供包含近</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rPr>
              <w:t>年信用报告(信用报告</w:t>
            </w:r>
            <w:r>
              <w:rPr>
                <w:rFonts w:hint="eastAsia" w:ascii="仿宋_GB2312" w:hAnsi="仿宋_GB2312" w:eastAsia="仿宋_GB2312" w:cs="仿宋_GB2312"/>
                <w:sz w:val="24"/>
                <w:szCs w:val="24"/>
                <w:lang w:val="en-US" w:eastAsia="zh-CN"/>
              </w:rPr>
              <w:t>加盖公章且</w:t>
            </w:r>
            <w:r>
              <w:rPr>
                <w:rFonts w:hint="eastAsia" w:ascii="仿宋_GB2312" w:hAnsi="仿宋_GB2312" w:eastAsia="仿宋_GB2312" w:cs="仿宋_GB2312"/>
                <w:sz w:val="24"/>
                <w:szCs w:val="24"/>
              </w:rPr>
              <w:t>须在有效期内)</w:t>
            </w:r>
            <w:r>
              <w:rPr>
                <w:rFonts w:hint="eastAsia" w:ascii="仿宋_GB2312" w:hAnsi="仿宋_GB2312" w:eastAsia="仿宋_GB2312" w:cs="仿宋_GB2312"/>
                <w:sz w:val="24"/>
                <w:szCs w:val="24"/>
                <w:lang w:eastAsia="zh-CN"/>
              </w:rPr>
              <w:t>；</w:t>
            </w:r>
          </w:p>
          <w:p>
            <w:pPr>
              <w:numPr>
                <w:numId w:val="0"/>
              </w:numPr>
              <w:ind w:left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供应商须提供律师执业资格证及由供应商近一个月为其参加社会保险的证明或劳动合同(加盖公章)</w:t>
            </w:r>
            <w:r>
              <w:rPr>
                <w:rFonts w:hint="eastAsia" w:ascii="仿宋_GB2312" w:hAnsi="仿宋_GB2312" w:eastAsia="仿宋_GB2312" w:cs="仿宋_GB2312"/>
                <w:sz w:val="24"/>
                <w:szCs w:val="24"/>
                <w:lang w:eastAsia="zh-CN"/>
              </w:rPr>
              <w:t>；</w:t>
            </w:r>
          </w:p>
          <w:p>
            <w:pPr>
              <w:numPr>
                <w:numId w:val="0"/>
              </w:numPr>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供应商须提供相关证书复印件(加盖公章)，未按要求提供的不得分。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jc w:val="center"/>
        </w:trPr>
        <w:tc>
          <w:tcPr>
            <w:tcW w:w="828" w:type="dxa"/>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70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tc>
        <w:tc>
          <w:tcPr>
            <w:tcW w:w="13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律师资质</w:t>
            </w:r>
          </w:p>
        </w:tc>
        <w:tc>
          <w:tcPr>
            <w:tcW w:w="6933" w:type="dxa"/>
            <w:vAlign w:val="center"/>
          </w:tcPr>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.服务本项目的每名律师执业年限5年以上得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分(以执业年限最长的一名律师计算，不分别计算) ;</w:t>
            </w:r>
          </w:p>
          <w:p>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年1月1日(含)至今，具有参政议政工作经验，对政府依法行政行为、规范性文件的起草修订或地方性具体管理事务曾提出提案或议政建议，有1项得</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分，最高得</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tc>
        <w:tc>
          <w:tcPr>
            <w:tcW w:w="4629" w:type="dxa"/>
            <w:vAlign w:val="center"/>
          </w:tcPr>
          <w:p>
            <w:pPr>
              <w:numPr>
                <w:numId w:val="0"/>
              </w:num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供应商须提供服务本项目的律师执业资格证及由供应商近</w:t>
            </w:r>
            <w:r>
              <w:rPr>
                <w:rFonts w:hint="eastAsia" w:ascii="仿宋_GB2312" w:hAnsi="仿宋_GB2312" w:eastAsia="仿宋_GB2312" w:cs="仿宋_GB2312"/>
                <w:sz w:val="24"/>
                <w:szCs w:val="24"/>
                <w:lang w:val="en-US" w:eastAsia="zh-CN"/>
              </w:rPr>
              <w:t>一</w:t>
            </w:r>
            <w:r>
              <w:rPr>
                <w:rFonts w:hint="eastAsia" w:ascii="仿宋_GB2312" w:hAnsi="仿宋_GB2312" w:eastAsia="仿宋_GB2312" w:cs="仿宋_GB2312"/>
                <w:sz w:val="24"/>
                <w:szCs w:val="24"/>
              </w:rPr>
              <w:t>个月为其参加社会保险的证明或劳动合同(加盖公章)，未按要求提供的不得分</w:t>
            </w:r>
            <w:r>
              <w:rPr>
                <w:rFonts w:hint="eastAsia" w:ascii="仿宋_GB2312" w:hAnsi="仿宋_GB2312" w:eastAsia="仿宋_GB2312" w:cs="仿宋_GB2312"/>
                <w:sz w:val="24"/>
                <w:szCs w:val="24"/>
                <w:lang w:eastAsia="zh-CN"/>
              </w:rPr>
              <w:t>；</w:t>
            </w:r>
          </w:p>
          <w:p>
            <w:pPr>
              <w:numPr>
                <w:ilvl w:val="0"/>
                <w:numId w:val="0"/>
              </w:numPr>
              <w:ind w:leftChars="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供应商须提供提交提案的记录或证明或</w:t>
            </w:r>
            <w:r>
              <w:rPr>
                <w:rFonts w:hint="eastAsia" w:ascii="仿宋_GB2312" w:hAnsi="仿宋_GB2312" w:eastAsia="仿宋_GB2312" w:cs="仿宋_GB2312"/>
                <w:sz w:val="24"/>
                <w:szCs w:val="24"/>
                <w:lang w:val="en-US" w:eastAsia="zh-CN"/>
              </w:rPr>
              <w:t>邀请函等</w:t>
            </w:r>
            <w:r>
              <w:rPr>
                <w:rFonts w:hint="eastAsia" w:ascii="仿宋_GB2312" w:hAnsi="仿宋_GB2312" w:eastAsia="仿宋_GB2312" w:cs="仿宋_GB2312"/>
                <w:sz w:val="24"/>
                <w:szCs w:val="24"/>
              </w:rPr>
              <w:t>复印件(加盖公章)，未按要求提供的不得分</w:t>
            </w:r>
            <w:r>
              <w:rPr>
                <w:rFonts w:hint="eastAsia" w:ascii="仿宋_GB2312" w:hAnsi="仿宋_GB2312" w:eastAsia="仿宋_GB2312" w:cs="仿宋_GB2312"/>
                <w:sz w:val="24"/>
                <w:szCs w:val="24"/>
                <w:lang w:eastAsia="zh-CN"/>
              </w:rPr>
              <w:t>；</w:t>
            </w:r>
          </w:p>
          <w:p>
            <w:pPr>
              <w:numPr>
                <w:ilvl w:val="0"/>
                <w:numId w:val="0"/>
              </w:numPr>
              <w:ind w:left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上述</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项内容均以本项目服务团队的律师资质来评价，未明确服务团队具体律师，或提供本项目服务团队以外律师资质的，均不得分。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828" w:type="dxa"/>
            <w:vAlign w:val="center"/>
          </w:tcPr>
          <w:p>
            <w:pPr>
              <w:ind w:right="120" w:firstLine="240" w:firstLineChars="10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70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分</w:t>
            </w:r>
          </w:p>
        </w:tc>
        <w:tc>
          <w:tcPr>
            <w:tcW w:w="136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业绩</w:t>
            </w:r>
          </w:p>
        </w:tc>
        <w:tc>
          <w:tcPr>
            <w:tcW w:w="6933" w:type="dxa"/>
            <w:vAlign w:val="center"/>
          </w:tcPr>
          <w:p>
            <w:pPr>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1.供应商20</w:t>
            </w:r>
            <w:r>
              <w:rPr>
                <w:rFonts w:hint="eastAsia" w:ascii="仿宋_GB2312" w:hAnsi="仿宋_GB2312" w:eastAsia="仿宋_GB2312" w:cs="仿宋_GB2312"/>
                <w:sz w:val="24"/>
                <w:szCs w:val="24"/>
                <w:highlight w:val="none"/>
                <w:lang w:val="en-US" w:eastAsia="zh-CN"/>
              </w:rPr>
              <w:t>21</w:t>
            </w:r>
            <w:r>
              <w:rPr>
                <w:rFonts w:hint="eastAsia" w:ascii="仿宋_GB2312" w:hAnsi="仿宋_GB2312" w:eastAsia="仿宋_GB2312" w:cs="仿宋_GB2312"/>
                <w:sz w:val="24"/>
                <w:szCs w:val="24"/>
                <w:highlight w:val="none"/>
              </w:rPr>
              <w:t>年1月1日(含)至今，担任机关事业单位常年法律顾问项目业绩，每份合同为</w:t>
            </w:r>
            <w:r>
              <w:rPr>
                <w:rFonts w:hint="eastAsia" w:ascii="仿宋_GB2312" w:hAnsi="仿宋_GB2312" w:eastAsia="仿宋_GB2312" w:cs="仿宋_GB2312"/>
                <w:sz w:val="24"/>
                <w:szCs w:val="24"/>
                <w:highlight w:val="none"/>
                <w:lang w:val="en-US" w:eastAsia="zh-CN"/>
              </w:rPr>
              <w:t>一</w:t>
            </w:r>
            <w:r>
              <w:rPr>
                <w:rFonts w:hint="eastAsia" w:ascii="仿宋_GB2312" w:hAnsi="仿宋_GB2312" w:eastAsia="仿宋_GB2312" w:cs="仿宋_GB2312"/>
                <w:sz w:val="24"/>
                <w:szCs w:val="24"/>
                <w:highlight w:val="none"/>
              </w:rPr>
              <w:t>份业绩，每份业绩得</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分，本小项最高得</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分。</w:t>
            </w:r>
          </w:p>
          <w:p>
            <w:pPr>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2.供应商20</w:t>
            </w:r>
            <w:r>
              <w:rPr>
                <w:rFonts w:hint="eastAsia" w:ascii="仿宋_GB2312" w:hAnsi="仿宋_GB2312" w:eastAsia="仿宋_GB2312" w:cs="仿宋_GB2312"/>
                <w:sz w:val="24"/>
                <w:szCs w:val="24"/>
                <w:highlight w:val="none"/>
                <w:lang w:val="en-US" w:eastAsia="zh-CN"/>
              </w:rPr>
              <w:t>21</w:t>
            </w:r>
            <w:r>
              <w:rPr>
                <w:rFonts w:hint="eastAsia" w:ascii="仿宋_GB2312" w:hAnsi="仿宋_GB2312" w:eastAsia="仿宋_GB2312" w:cs="仿宋_GB2312"/>
                <w:sz w:val="24"/>
                <w:szCs w:val="24"/>
                <w:highlight w:val="none"/>
              </w:rPr>
              <w:t>年1月1日(含)至今代理政府部门的行政、民事诉讼</w:t>
            </w:r>
            <w:r>
              <w:rPr>
                <w:rFonts w:hint="eastAsia" w:ascii="仿宋_GB2312" w:hAnsi="仿宋_GB2312" w:eastAsia="仿宋_GB2312" w:cs="仿宋_GB2312"/>
                <w:sz w:val="24"/>
                <w:szCs w:val="24"/>
                <w:highlight w:val="none"/>
                <w:lang w:val="en-US" w:eastAsia="zh-CN"/>
              </w:rPr>
              <w:t>等</w:t>
            </w:r>
            <w:r>
              <w:rPr>
                <w:rFonts w:hint="eastAsia" w:ascii="仿宋_GB2312" w:hAnsi="仿宋_GB2312" w:eastAsia="仿宋_GB2312" w:cs="仿宋_GB2312"/>
                <w:sz w:val="24"/>
                <w:szCs w:val="24"/>
                <w:highlight w:val="none"/>
              </w:rPr>
              <w:t>案件的胜诉业绩，每份业绩得</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分，本小项最高得</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分。</w:t>
            </w:r>
          </w:p>
          <w:p>
            <w:pPr>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.供应商20</w:t>
            </w:r>
            <w:r>
              <w:rPr>
                <w:rFonts w:hint="eastAsia" w:ascii="仿宋_GB2312" w:hAnsi="仿宋_GB2312" w:eastAsia="仿宋_GB2312" w:cs="仿宋_GB2312"/>
                <w:sz w:val="24"/>
                <w:szCs w:val="24"/>
                <w:highlight w:val="none"/>
                <w:lang w:val="en-US" w:eastAsia="zh-CN"/>
              </w:rPr>
              <w:t>21</w:t>
            </w:r>
            <w:r>
              <w:rPr>
                <w:rFonts w:hint="eastAsia" w:ascii="仿宋_GB2312" w:hAnsi="仿宋_GB2312" w:eastAsia="仿宋_GB2312" w:cs="仿宋_GB2312"/>
                <w:sz w:val="24"/>
                <w:szCs w:val="24"/>
                <w:highlight w:val="none"/>
              </w:rPr>
              <w:t>年1月1日(含)至今协助政府部门开展规范性文件合法性审查、重大行政决策合法性审查或重大行政决定法制审查的业绩，每1份业绩得</w:t>
            </w: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分，本小项最高得</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分。</w:t>
            </w:r>
          </w:p>
        </w:tc>
        <w:tc>
          <w:tcPr>
            <w:tcW w:w="4629" w:type="dxa"/>
            <w:vAlign w:val="center"/>
          </w:tcPr>
          <w:p>
            <w:pPr>
              <w:numPr>
                <w:ilvl w:val="0"/>
                <w:numId w:val="0"/>
              </w:numPr>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供应商须提供合同复印件(加盖公章)，未按要求提供的不得分</w:t>
            </w:r>
            <w:r>
              <w:rPr>
                <w:rFonts w:hint="eastAsia" w:ascii="仿宋_GB2312" w:hAnsi="仿宋_GB2312" w:eastAsia="仿宋_GB2312" w:cs="仿宋_GB2312"/>
                <w:sz w:val="24"/>
                <w:szCs w:val="24"/>
                <w:highlight w:val="none"/>
                <w:lang w:eastAsia="zh-CN"/>
              </w:rPr>
              <w:t>；</w:t>
            </w:r>
          </w:p>
          <w:p>
            <w:pPr>
              <w:numPr>
                <w:ilvl w:val="0"/>
                <w:numId w:val="0"/>
              </w:numPr>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2.</w:t>
            </w:r>
            <w:r>
              <w:rPr>
                <w:rFonts w:hint="eastAsia" w:ascii="仿宋_GB2312" w:hAnsi="仿宋_GB2312" w:eastAsia="仿宋_GB2312" w:cs="仿宋_GB2312"/>
                <w:sz w:val="24"/>
                <w:szCs w:val="24"/>
                <w:highlight w:val="none"/>
              </w:rPr>
              <w:t>供应商须提供判决文书复印件(加盖公章)，未按要求提供的不得分</w:t>
            </w:r>
            <w:r>
              <w:rPr>
                <w:rFonts w:hint="eastAsia" w:ascii="仿宋_GB2312" w:hAnsi="仿宋_GB2312" w:eastAsia="仿宋_GB2312" w:cs="仿宋_GB2312"/>
                <w:sz w:val="24"/>
                <w:szCs w:val="24"/>
                <w:highlight w:val="none"/>
                <w:lang w:eastAsia="zh-CN"/>
              </w:rPr>
              <w:t>；</w:t>
            </w:r>
          </w:p>
          <w:p>
            <w:pPr>
              <w:numPr>
                <w:ilvl w:val="0"/>
                <w:numId w:val="0"/>
              </w:numPr>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供应商须提供法律意见书复印件(加盖公章)，未按要求提供的不得分</w:t>
            </w:r>
            <w:r>
              <w:rPr>
                <w:rFonts w:hint="eastAsia" w:ascii="仿宋_GB2312" w:hAnsi="仿宋_GB2312" w:eastAsia="仿宋_GB2312" w:cs="仿宋_GB2312"/>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28" w:type="dxa"/>
            <w:vAlign w:val="center"/>
          </w:tcPr>
          <w:p>
            <w:pPr>
              <w:ind w:right="120" w:firstLine="240" w:firstLineChars="10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705"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1365" w:type="dxa"/>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用户评价</w:t>
            </w:r>
          </w:p>
        </w:tc>
        <w:tc>
          <w:tcPr>
            <w:tcW w:w="6933" w:type="dxa"/>
            <w:vAlign w:val="center"/>
          </w:tcPr>
          <w:p>
            <w:pPr>
              <w:pStyle w:val="4"/>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供应商20</w:t>
            </w:r>
            <w:r>
              <w:rPr>
                <w:rFonts w:hint="eastAsia" w:ascii="仿宋_GB2312" w:hAnsi="仿宋_GB2312" w:eastAsia="仿宋_GB2312" w:cs="仿宋_GB2312"/>
                <w:sz w:val="24"/>
                <w:szCs w:val="24"/>
                <w:highlight w:val="none"/>
                <w:lang w:val="en-US" w:eastAsia="zh-CN"/>
              </w:rPr>
              <w:t>21</w:t>
            </w:r>
            <w:r>
              <w:rPr>
                <w:rFonts w:hint="eastAsia" w:ascii="仿宋_GB2312" w:hAnsi="仿宋_GB2312" w:eastAsia="仿宋_GB2312" w:cs="仿宋_GB2312"/>
                <w:sz w:val="24"/>
                <w:szCs w:val="24"/>
                <w:highlight w:val="none"/>
              </w:rPr>
              <w:t>年1月1日(含)作为法律顾问获得好评的(结果为“好评”或“优秀”或相同含义的评价)，每份得</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最高得</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分。</w:t>
            </w:r>
          </w:p>
        </w:tc>
        <w:tc>
          <w:tcPr>
            <w:tcW w:w="4629" w:type="dxa"/>
            <w:vAlign w:val="center"/>
          </w:tcPr>
          <w:p>
            <w:pPr>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highlight w:val="none"/>
              </w:rPr>
              <w:t>供应商须提供服务评价证明文件复印件加盖公章，未按要求提供的不得分</w:t>
            </w:r>
            <w:r>
              <w:rPr>
                <w:rFonts w:hint="eastAsia" w:ascii="仿宋_GB2312" w:hAnsi="仿宋_GB2312" w:eastAsia="仿宋_GB2312" w:cs="仿宋_GB2312"/>
                <w:sz w:val="24"/>
                <w:szCs w:val="24"/>
                <w:highlight w:val="none"/>
                <w:lang w:eastAsia="zh-CN"/>
              </w:rPr>
              <w:t>。</w:t>
            </w:r>
          </w:p>
        </w:tc>
      </w:tr>
    </w:tbl>
    <w:p>
      <w:pPr>
        <w:spacing w:line="360" w:lineRule="auto"/>
      </w:pPr>
    </w:p>
    <w:sectPr>
      <w:headerReference r:id="rId3" w:type="default"/>
      <w:footerReference r:id="rId4" w:type="default"/>
      <w:pgSz w:w="16838" w:h="11906" w:orient="landscape"/>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NTJiNjMzNDMyNjhjOGIxZTM2ZmY5ZWRiYjY1ZjYifQ=="/>
  </w:docVars>
  <w:rsids>
    <w:rsidRoot w:val="00000000"/>
    <w:rsid w:val="007F2108"/>
    <w:rsid w:val="02723319"/>
    <w:rsid w:val="042240E0"/>
    <w:rsid w:val="04E30B4C"/>
    <w:rsid w:val="08494849"/>
    <w:rsid w:val="085A57C9"/>
    <w:rsid w:val="0A024B21"/>
    <w:rsid w:val="0BBB6246"/>
    <w:rsid w:val="0D294BDD"/>
    <w:rsid w:val="0D6939DA"/>
    <w:rsid w:val="0DC42244"/>
    <w:rsid w:val="0E9C27F8"/>
    <w:rsid w:val="11A75916"/>
    <w:rsid w:val="129E5885"/>
    <w:rsid w:val="1353104E"/>
    <w:rsid w:val="16A47813"/>
    <w:rsid w:val="183C61EA"/>
    <w:rsid w:val="18FA4630"/>
    <w:rsid w:val="1A237102"/>
    <w:rsid w:val="1C2C4D08"/>
    <w:rsid w:val="1E141977"/>
    <w:rsid w:val="1E8C67C9"/>
    <w:rsid w:val="1F3A1D67"/>
    <w:rsid w:val="1F413FB6"/>
    <w:rsid w:val="1FF90E77"/>
    <w:rsid w:val="21422C69"/>
    <w:rsid w:val="21AC5B67"/>
    <w:rsid w:val="220C0E4B"/>
    <w:rsid w:val="230D45BD"/>
    <w:rsid w:val="23A26D50"/>
    <w:rsid w:val="23AA4CF1"/>
    <w:rsid w:val="23D257A7"/>
    <w:rsid w:val="23F86DD0"/>
    <w:rsid w:val="243A62C0"/>
    <w:rsid w:val="27F85772"/>
    <w:rsid w:val="28245AF0"/>
    <w:rsid w:val="294A4DB0"/>
    <w:rsid w:val="29C4650F"/>
    <w:rsid w:val="2A0A1E52"/>
    <w:rsid w:val="2D0375CE"/>
    <w:rsid w:val="2E4A0532"/>
    <w:rsid w:val="2F876056"/>
    <w:rsid w:val="309F1EF1"/>
    <w:rsid w:val="30CB0E54"/>
    <w:rsid w:val="315A4F25"/>
    <w:rsid w:val="3167324A"/>
    <w:rsid w:val="32C67173"/>
    <w:rsid w:val="345A5A70"/>
    <w:rsid w:val="35A53F51"/>
    <w:rsid w:val="36471673"/>
    <w:rsid w:val="36C218E9"/>
    <w:rsid w:val="37332606"/>
    <w:rsid w:val="3B1D0212"/>
    <w:rsid w:val="3B516379"/>
    <w:rsid w:val="3B956714"/>
    <w:rsid w:val="3C971968"/>
    <w:rsid w:val="3D853EA9"/>
    <w:rsid w:val="3E771746"/>
    <w:rsid w:val="404A5D14"/>
    <w:rsid w:val="41961445"/>
    <w:rsid w:val="4218496D"/>
    <w:rsid w:val="42820603"/>
    <w:rsid w:val="42C74F1D"/>
    <w:rsid w:val="44665D25"/>
    <w:rsid w:val="4582210E"/>
    <w:rsid w:val="463643FD"/>
    <w:rsid w:val="46A05512"/>
    <w:rsid w:val="46E750A9"/>
    <w:rsid w:val="49AD5AA1"/>
    <w:rsid w:val="4AD06BF6"/>
    <w:rsid w:val="4B8125C7"/>
    <w:rsid w:val="4CB001A7"/>
    <w:rsid w:val="4CDF5446"/>
    <w:rsid w:val="50280D8F"/>
    <w:rsid w:val="50D82B30"/>
    <w:rsid w:val="54A2497A"/>
    <w:rsid w:val="55324EF2"/>
    <w:rsid w:val="568A6BF7"/>
    <w:rsid w:val="580E1205"/>
    <w:rsid w:val="59377844"/>
    <w:rsid w:val="5BC57EEE"/>
    <w:rsid w:val="5DAB1DB8"/>
    <w:rsid w:val="5DB51EE4"/>
    <w:rsid w:val="5DF443DB"/>
    <w:rsid w:val="5E7D6182"/>
    <w:rsid w:val="5EE35427"/>
    <w:rsid w:val="5F427EB5"/>
    <w:rsid w:val="60202338"/>
    <w:rsid w:val="60DD0284"/>
    <w:rsid w:val="617E7F38"/>
    <w:rsid w:val="61DF7C21"/>
    <w:rsid w:val="643901C6"/>
    <w:rsid w:val="64BE375D"/>
    <w:rsid w:val="66165319"/>
    <w:rsid w:val="673761C1"/>
    <w:rsid w:val="67933079"/>
    <w:rsid w:val="68BE460A"/>
    <w:rsid w:val="6A891F84"/>
    <w:rsid w:val="6AF775EE"/>
    <w:rsid w:val="6C243921"/>
    <w:rsid w:val="6C9A035F"/>
    <w:rsid w:val="6D2E3E2E"/>
    <w:rsid w:val="70131450"/>
    <w:rsid w:val="7042116F"/>
    <w:rsid w:val="71702F2A"/>
    <w:rsid w:val="737C2342"/>
    <w:rsid w:val="7789288B"/>
    <w:rsid w:val="77B4322E"/>
    <w:rsid w:val="78DD0878"/>
    <w:rsid w:val="7DD52A32"/>
    <w:rsid w:val="7FCD4F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9"/>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1"/>
    <w:unhideWhenUsed/>
    <w:qFormat/>
    <w:uiPriority w:val="99"/>
    <w:pPr>
      <w:jc w:val="left"/>
    </w:pPr>
  </w:style>
  <w:style w:type="paragraph" w:styleId="5">
    <w:name w:val="Date"/>
    <w:basedOn w:val="1"/>
    <w:next w:val="1"/>
    <w:link w:val="27"/>
    <w:semiHidden/>
    <w:unhideWhenUsed/>
    <w:qFormat/>
    <w:uiPriority w:val="0"/>
    <w:pPr>
      <w:ind w:left="100" w:leftChars="2500"/>
    </w:pPr>
  </w:style>
  <w:style w:type="paragraph" w:styleId="6">
    <w:name w:val="Balloon Text"/>
    <w:basedOn w:val="1"/>
    <w:link w:val="25"/>
    <w:semiHidden/>
    <w:unhideWhenUsed/>
    <w:qFormat/>
    <w:uiPriority w:val="0"/>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0"/>
    <w:pPr>
      <w:spacing w:beforeAutospacing="1" w:afterAutospacing="1"/>
      <w:jc w:val="left"/>
    </w:pPr>
    <w:rPr>
      <w:kern w:val="0"/>
      <w:sz w:val="24"/>
    </w:rPr>
  </w:style>
  <w:style w:type="paragraph" w:styleId="10">
    <w:name w:val="Title"/>
    <w:basedOn w:val="1"/>
    <w:next w:val="1"/>
    <w:link w:val="20"/>
    <w:autoRedefine/>
    <w:qFormat/>
    <w:uiPriority w:val="99"/>
    <w:pPr>
      <w:spacing w:before="240" w:after="60"/>
      <w:jc w:val="center"/>
      <w:outlineLvl w:val="0"/>
    </w:pPr>
    <w:rPr>
      <w:rFonts w:ascii="等线 Light" w:hAnsi="等线 Light" w:eastAsia="等线 Light"/>
      <w:b/>
      <w:sz w:val="32"/>
    </w:rPr>
  </w:style>
  <w:style w:type="paragraph" w:styleId="11">
    <w:name w:val="annotation subject"/>
    <w:basedOn w:val="4"/>
    <w:next w:val="4"/>
    <w:link w:val="26"/>
    <w:autoRedefine/>
    <w:semiHidden/>
    <w:unhideWhenUsed/>
    <w:qFormat/>
    <w:uiPriority w:val="0"/>
    <w:rPr>
      <w:b/>
      <w:bCs/>
    </w:rPr>
  </w:style>
  <w:style w:type="character" w:styleId="14">
    <w:name w:val="Strong"/>
    <w:qFormat/>
    <w:uiPriority w:val="22"/>
    <w:rPr>
      <w:b/>
    </w:rPr>
  </w:style>
  <w:style w:type="character" w:styleId="15">
    <w:name w:val="annotation reference"/>
    <w:autoRedefine/>
    <w:semiHidden/>
    <w:unhideWhenUsed/>
    <w:qFormat/>
    <w:uiPriority w:val="0"/>
    <w:rPr>
      <w:sz w:val="21"/>
      <w:szCs w:val="21"/>
    </w:rPr>
  </w:style>
  <w:style w:type="paragraph" w:customStyle="1" w:styleId="16">
    <w:name w:val="列出段落1"/>
    <w:basedOn w:val="1"/>
    <w:autoRedefine/>
    <w:qFormat/>
    <w:uiPriority w:val="99"/>
    <w:pPr>
      <w:ind w:firstLine="420" w:firstLineChars="200"/>
    </w:pPr>
    <w:rPr>
      <w:rFonts w:ascii="等线" w:hAnsi="等线" w:eastAsia="等线" w:cs="等线"/>
      <w:szCs w:val="21"/>
    </w:rPr>
  </w:style>
  <w:style w:type="paragraph" w:customStyle="1" w:styleId="17">
    <w:name w:val="Revision"/>
    <w:autoRedefine/>
    <w:hidden/>
    <w:semiHidden/>
    <w:qFormat/>
    <w:uiPriority w:val="99"/>
    <w:rPr>
      <w:rFonts w:ascii="Calibri" w:hAnsi="Calibri" w:eastAsia="宋体" w:cs="黑体"/>
      <w:kern w:val="2"/>
      <w:sz w:val="21"/>
      <w:szCs w:val="22"/>
      <w:lang w:val="en-US" w:eastAsia="zh-CN" w:bidi="ar-SA"/>
    </w:rPr>
  </w:style>
  <w:style w:type="character" w:customStyle="1" w:styleId="18">
    <w:name w:val="标题 1 字符"/>
    <w:link w:val="2"/>
    <w:qFormat/>
    <w:uiPriority w:val="9"/>
    <w:rPr>
      <w:rFonts w:ascii="宋体" w:hAnsi="宋体" w:eastAsia="宋体" w:cs="宋体"/>
      <w:b/>
      <w:bCs/>
      <w:kern w:val="36"/>
      <w:sz w:val="48"/>
      <w:szCs w:val="48"/>
    </w:rPr>
  </w:style>
  <w:style w:type="character" w:customStyle="1" w:styleId="19">
    <w:name w:val="标题 2 字符"/>
    <w:link w:val="3"/>
    <w:qFormat/>
    <w:uiPriority w:val="9"/>
    <w:rPr>
      <w:rFonts w:ascii="Cambria" w:hAnsi="Cambria" w:eastAsia="宋体" w:cs="黑体"/>
      <w:b/>
      <w:bCs/>
      <w:sz w:val="32"/>
      <w:szCs w:val="32"/>
    </w:rPr>
  </w:style>
  <w:style w:type="character" w:customStyle="1" w:styleId="20">
    <w:name w:val="标题 字符"/>
    <w:link w:val="10"/>
    <w:autoRedefine/>
    <w:qFormat/>
    <w:uiPriority w:val="99"/>
    <w:rPr>
      <w:rFonts w:ascii="等线 Light" w:hAnsi="等线 Light" w:eastAsia="等线 Light"/>
      <w:b/>
      <w:sz w:val="32"/>
    </w:rPr>
  </w:style>
  <w:style w:type="character" w:customStyle="1" w:styleId="21">
    <w:name w:val="批注文字 字符"/>
    <w:basedOn w:val="13"/>
    <w:link w:val="4"/>
    <w:autoRedefine/>
    <w:qFormat/>
    <w:uiPriority w:val="99"/>
  </w:style>
  <w:style w:type="character" w:customStyle="1" w:styleId="22">
    <w:name w:val="标题 Char1"/>
    <w:autoRedefine/>
    <w:unhideWhenUsed/>
    <w:qFormat/>
    <w:locked/>
    <w:uiPriority w:val="99"/>
    <w:rPr>
      <w:rFonts w:ascii="等线 Light" w:hAnsi="等线 Light" w:eastAsia="等线 Light"/>
      <w:b/>
      <w:sz w:val="32"/>
    </w:rPr>
  </w:style>
  <w:style w:type="character" w:customStyle="1" w:styleId="23">
    <w:name w:val="页眉 字符"/>
    <w:link w:val="8"/>
    <w:autoRedefine/>
    <w:qFormat/>
    <w:uiPriority w:val="99"/>
    <w:rPr>
      <w:sz w:val="18"/>
      <w:szCs w:val="18"/>
    </w:rPr>
  </w:style>
  <w:style w:type="character" w:customStyle="1" w:styleId="24">
    <w:name w:val="页脚 字符"/>
    <w:link w:val="7"/>
    <w:autoRedefine/>
    <w:qFormat/>
    <w:uiPriority w:val="99"/>
    <w:rPr>
      <w:sz w:val="18"/>
      <w:szCs w:val="18"/>
    </w:rPr>
  </w:style>
  <w:style w:type="character" w:customStyle="1" w:styleId="25">
    <w:name w:val="批注框文本 字符"/>
    <w:link w:val="6"/>
    <w:semiHidden/>
    <w:qFormat/>
    <w:uiPriority w:val="0"/>
    <w:rPr>
      <w:rFonts w:ascii="Calibri" w:hAnsi="Calibri" w:cs="黑体"/>
      <w:kern w:val="2"/>
      <w:sz w:val="18"/>
      <w:szCs w:val="18"/>
    </w:rPr>
  </w:style>
  <w:style w:type="character" w:customStyle="1" w:styleId="26">
    <w:name w:val="批注主题 字符"/>
    <w:link w:val="11"/>
    <w:autoRedefine/>
    <w:semiHidden/>
    <w:qFormat/>
    <w:uiPriority w:val="0"/>
    <w:rPr>
      <w:rFonts w:ascii="Calibri" w:hAnsi="Calibri" w:cs="黑体"/>
      <w:b/>
      <w:bCs/>
      <w:kern w:val="2"/>
      <w:sz w:val="21"/>
      <w:szCs w:val="22"/>
    </w:rPr>
  </w:style>
  <w:style w:type="character" w:customStyle="1" w:styleId="27">
    <w:name w:val="日期 字符"/>
    <w:link w:val="5"/>
    <w:autoRedefine/>
    <w:semiHidden/>
    <w:qFormat/>
    <w:uiPriority w:val="0"/>
    <w:rPr>
      <w:rFonts w:ascii="Calibri" w:hAnsi="Calibri" w:cs="黑体"/>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1965</Words>
  <Characters>2084</Characters>
  <Lines>29</Lines>
  <Paragraphs>8</Paragraphs>
  <TotalTime>3</TotalTime>
  <ScaleCrop>false</ScaleCrop>
  <LinksUpToDate>false</LinksUpToDate>
  <CharactersWithSpaces>2165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2023-04-11T07:04:00Z</dcterms:created>
  <dc:creator>刘立</dc:creator>
  <cp:lastModifiedBy>我歌月徘徊</cp:lastModifiedBy>
  <cp:lastPrinted>2023-04-13T08:14:00Z</cp:lastPrinted>
  <dcterms:modified xsi:type="dcterms:W3CDTF">2024-02-20T07:26:36Z</dcterms:modified>
  <dc:title>关于公开比选中心2020—2022年度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137546E06843404ABB9E43ABF1EF18E5_13</vt:lpwstr>
  </property>
</Properties>
</file>